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木垒哈萨克自治县大南沟乌孜别克</w:t>
      </w:r>
    </w:p>
    <w:p>
      <w:pPr>
        <w:jc w:val="center"/>
        <w:rPr>
          <w:rFonts w:hint="eastAsia" w:ascii="方正小标宋_GBK" w:hAnsi="宋体" w:eastAsia="方正小标宋_GBK"/>
          <w:sz w:val="44"/>
          <w:szCs w:val="44"/>
        </w:rPr>
      </w:pPr>
      <w:bookmarkStart w:id="48" w:name="_GoBack"/>
      <w:bookmarkEnd w:id="48"/>
      <w:r>
        <w:rPr>
          <w:rFonts w:hint="eastAsia" w:ascii="方正小标宋_GBK" w:hAnsi="宋体" w:eastAsia="方正小标宋_GBK"/>
          <w:sz w:val="44"/>
          <w:szCs w:val="44"/>
        </w:rPr>
        <w:t>族乡卫生院2023年度部门决算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县哈萨克自治县大南沟乌孜别克民族乡卫生院主要职能：为人民身体健康提供医疗与预防保健服务，常见病多发病护理恢复期病人康复治疗与护理，公共卫生14项服务，全民健康体检，中医理疗，卫生技术人员培训，初级卫生保健规划实施，居民医保组织与管理。</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木垒县哈萨克自治县大南沟乌孜别克民族乡卫生院2023年度，实有人数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宋体" w:eastAsia="仿宋_GB2312"/>
          <w:bCs/>
          <w:sz w:val="32"/>
          <w:szCs w:val="32"/>
        </w:rPr>
        <w:t>7个处室，分别是：办公室、公卫科、防疫室、妇幼室、财务室、门诊科室、中医理疗室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2023年度收入总计401.10万元，其中：本年收入合计401.10万元，使用非财政拨款结余0.00万元，年初结转和结余0.00万元。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2023年度支出总计401.10万元，其中：本年支出合计401.10万元，结余分配0.00万元，年末结转和结余0.00万元。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增加81.09万元</w:t>
      </w:r>
      <w:r>
        <w:rPr>
          <w:rFonts w:hint="eastAsia" w:ascii="仿宋_GB2312" w:eastAsia="仿宋_GB2312"/>
          <w:sz w:val="32"/>
          <w:szCs w:val="32"/>
        </w:rPr>
        <w:t>，增长25.34%，主要原因是：单位本年15-64岁体检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本年收入401.10万元，其中：财政拨款收入</w:t>
      </w:r>
      <w:r>
        <w:rPr>
          <w:rFonts w:hint="eastAsia" w:ascii="仿宋_GB2312" w:eastAsia="仿宋_GB2312"/>
          <w:sz w:val="32"/>
          <w:szCs w:val="32"/>
          <w:lang w:val="zh-CN"/>
        </w:rPr>
        <w:t>348.17</w:t>
      </w:r>
      <w:r>
        <w:rPr>
          <w:rFonts w:hint="eastAsia" w:ascii="仿宋_GB2312" w:eastAsia="仿宋_GB2312"/>
          <w:sz w:val="32"/>
          <w:szCs w:val="32"/>
        </w:rPr>
        <w:t>万元，占</w:t>
      </w:r>
      <w:r>
        <w:rPr>
          <w:rFonts w:hint="eastAsia" w:ascii="仿宋_GB2312" w:eastAsia="仿宋_GB2312"/>
          <w:sz w:val="32"/>
          <w:szCs w:val="32"/>
          <w:lang w:val="zh-CN"/>
        </w:rPr>
        <w:t>86.80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52.94</w:t>
      </w:r>
      <w:r>
        <w:rPr>
          <w:rFonts w:hint="eastAsia" w:ascii="仿宋_GB2312" w:eastAsia="仿宋_GB2312"/>
          <w:sz w:val="32"/>
          <w:szCs w:val="32"/>
        </w:rPr>
        <w:t>万元，占</w:t>
      </w:r>
      <w:r>
        <w:rPr>
          <w:rFonts w:hint="eastAsia" w:ascii="仿宋_GB2312" w:eastAsia="仿宋_GB2312"/>
          <w:sz w:val="32"/>
          <w:szCs w:val="32"/>
          <w:lang w:val="zh-CN"/>
        </w:rPr>
        <w:t>13.20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本年支出401.10万元，其中：基本支出350.37万元，占87.35%；项目支出50.73万元，占12.65%；上缴上级支出0.00万元，占0.00%；经营支出0.00万元，占0.00%；对附属单位补助支出0.00万元，占0.00%。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348.17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348.17</w:t>
      </w:r>
      <w:r>
        <w:rPr>
          <w:rFonts w:hint="eastAsia" w:ascii="仿宋_GB2312" w:eastAsia="仿宋_GB2312"/>
          <w:sz w:val="32"/>
          <w:szCs w:val="32"/>
        </w:rPr>
        <w:t>万元。财政拨款支出总计</w:t>
      </w:r>
      <w:r>
        <w:rPr>
          <w:rFonts w:hint="eastAsia" w:ascii="仿宋_GB2312" w:eastAsia="仿宋_GB2312"/>
          <w:sz w:val="32"/>
          <w:szCs w:val="32"/>
          <w:lang w:val="zh-CN"/>
        </w:rPr>
        <w:t>348.17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348.17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增加48.84万元</w:t>
      </w:r>
      <w:r>
        <w:rPr>
          <w:rFonts w:hint="eastAsia" w:ascii="仿宋_GB2312" w:eastAsia="仿宋_GB2312"/>
          <w:sz w:val="32"/>
          <w:szCs w:val="32"/>
        </w:rPr>
        <w:t>，增长16.32%,主要原因是：单位本年15-64岁体检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348.17</w:t>
      </w:r>
      <w:r>
        <w:rPr>
          <w:rFonts w:hint="eastAsia" w:ascii="仿宋_GB2312" w:eastAsia="仿宋_GB2312"/>
          <w:sz w:val="32"/>
          <w:szCs w:val="32"/>
        </w:rPr>
        <w:t>万元，预决算差异率39.20%，主要原因是：年中追加15-64岁体检项目经费、中中央重大传染病防控经费、牧民计划生育免费技术服务州本级配套项目资金。</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2023年度一般公共预算财政拨款支出347.98万元，占本年支出合计的</w:t>
      </w:r>
      <w:r>
        <w:rPr>
          <w:rFonts w:hint="eastAsia" w:ascii="仿宋_GB2312" w:eastAsia="仿宋_GB2312"/>
          <w:sz w:val="32"/>
          <w:szCs w:val="32"/>
          <w:lang w:val="zh-CN"/>
        </w:rPr>
        <w:t>86.76%</w:t>
      </w:r>
      <w:r>
        <w:rPr>
          <w:rFonts w:hint="eastAsia" w:ascii="仿宋_GB2312" w:eastAsia="仿宋_GB2312"/>
          <w:sz w:val="32"/>
          <w:szCs w:val="32"/>
        </w:rPr>
        <w:t>。与上年相比，</w:t>
      </w:r>
      <w:r>
        <w:rPr>
          <w:rFonts w:hint="eastAsia" w:ascii="仿宋_GB2312" w:eastAsia="仿宋_GB2312"/>
          <w:sz w:val="32"/>
          <w:szCs w:val="32"/>
          <w:lang w:val="zh-CN"/>
        </w:rPr>
        <w:t>增加48.65万元</w:t>
      </w:r>
      <w:r>
        <w:rPr>
          <w:rFonts w:hint="eastAsia" w:ascii="仿宋_GB2312" w:eastAsia="仿宋_GB2312"/>
          <w:sz w:val="32"/>
          <w:szCs w:val="32"/>
        </w:rPr>
        <w:t>，增长16.25%,主要原因是：单位本年15-64岁体检</w:t>
      </w:r>
      <w:r>
        <w:rPr>
          <w:rFonts w:hint="eastAsia" w:ascii="仿宋_GB2312" w:eastAsia="仿宋_GB2312"/>
          <w:sz w:val="32"/>
          <w:szCs w:val="32"/>
          <w:lang w:val="en-US" w:eastAsia="zh-CN"/>
        </w:rPr>
        <w:t>项目</w:t>
      </w:r>
      <w:r>
        <w:rPr>
          <w:rFonts w:hint="eastAsia" w:ascii="仿宋_GB2312" w:eastAsia="仿宋_GB2312"/>
          <w:sz w:val="32"/>
          <w:szCs w:val="32"/>
        </w:rPr>
        <w:t>经费、中央基本公共卫生服务项目经费增加。与年初预算相比，年初预算数</w:t>
      </w:r>
      <w:r>
        <w:rPr>
          <w:rFonts w:hint="eastAsia" w:ascii="仿宋_GB2312" w:eastAsia="仿宋_GB2312"/>
          <w:sz w:val="32"/>
          <w:szCs w:val="32"/>
          <w:lang w:val="zh-CN"/>
        </w:rPr>
        <w:t>250.13</w:t>
      </w:r>
      <w:r>
        <w:rPr>
          <w:rFonts w:hint="eastAsia" w:ascii="仿宋_GB2312" w:eastAsia="仿宋_GB2312"/>
          <w:sz w:val="32"/>
          <w:szCs w:val="32"/>
        </w:rPr>
        <w:t>万元，决算数</w:t>
      </w:r>
      <w:r>
        <w:rPr>
          <w:rFonts w:hint="eastAsia" w:ascii="仿宋_GB2312" w:eastAsia="仿宋_GB2312"/>
          <w:sz w:val="32"/>
          <w:szCs w:val="32"/>
          <w:lang w:val="zh-CN"/>
        </w:rPr>
        <w:t>347.98</w:t>
      </w:r>
      <w:r>
        <w:rPr>
          <w:rFonts w:hint="eastAsia" w:ascii="仿宋_GB2312" w:eastAsia="仿宋_GB2312"/>
          <w:sz w:val="32"/>
          <w:szCs w:val="32"/>
        </w:rPr>
        <w:t>万元，预决算差异率</w:t>
      </w:r>
      <w:r>
        <w:rPr>
          <w:rFonts w:hint="eastAsia" w:ascii="仿宋_GB2312" w:eastAsia="仿宋_GB2312"/>
          <w:sz w:val="32"/>
          <w:szCs w:val="32"/>
          <w:lang w:val="zh-CN"/>
        </w:rPr>
        <w:t>39.12%</w:t>
      </w:r>
      <w:r>
        <w:rPr>
          <w:rFonts w:hint="eastAsia" w:ascii="仿宋_GB2312" w:eastAsia="仿宋_GB2312"/>
          <w:sz w:val="32"/>
          <w:szCs w:val="32"/>
        </w:rPr>
        <w:t>，主要原因是：年中追加15-64岁体检项目经费、中中央重大传染病防控经费、牧民计划生育免费技术服务州本级配套项目资金。</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37.82</w:t>
      </w:r>
      <w:r>
        <w:rPr>
          <w:rFonts w:ascii="仿宋_GB2312" w:eastAsia="仿宋_GB2312"/>
          <w:kern w:val="2"/>
          <w:sz w:val="32"/>
          <w:szCs w:val="32"/>
          <w:lang w:val="zh-CN"/>
        </w:rPr>
        <w:t>万元，占</w:t>
      </w:r>
      <w:r>
        <w:rPr>
          <w:rFonts w:hint="eastAsia" w:ascii="仿宋_GB2312" w:eastAsia="仿宋_GB2312"/>
          <w:kern w:val="2"/>
          <w:sz w:val="32"/>
          <w:szCs w:val="32"/>
          <w:lang w:val="zh-CN"/>
        </w:rPr>
        <w:t>10.87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289.43</w:t>
      </w:r>
      <w:r>
        <w:rPr>
          <w:rFonts w:ascii="仿宋_GB2312" w:eastAsia="仿宋_GB2312"/>
          <w:kern w:val="2"/>
          <w:sz w:val="32"/>
          <w:szCs w:val="32"/>
          <w:lang w:val="zh-CN"/>
        </w:rPr>
        <w:t>万元，占</w:t>
      </w:r>
      <w:r>
        <w:rPr>
          <w:rFonts w:hint="eastAsia" w:ascii="仿宋_GB2312" w:eastAsia="仿宋_GB2312"/>
          <w:kern w:val="2"/>
          <w:sz w:val="32"/>
          <w:szCs w:val="32"/>
          <w:lang w:val="zh-CN"/>
        </w:rPr>
        <w:t>83.17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20.72</w:t>
      </w:r>
      <w:r>
        <w:rPr>
          <w:rFonts w:ascii="仿宋_GB2312" w:eastAsia="仿宋_GB2312"/>
          <w:kern w:val="2"/>
          <w:sz w:val="32"/>
          <w:szCs w:val="32"/>
          <w:lang w:val="zh-CN"/>
        </w:rPr>
        <w:t>万元，占</w:t>
      </w:r>
      <w:r>
        <w:rPr>
          <w:rFonts w:hint="eastAsia" w:ascii="仿宋_GB2312" w:eastAsia="仿宋_GB2312"/>
          <w:kern w:val="2"/>
          <w:sz w:val="32"/>
          <w:szCs w:val="32"/>
          <w:lang w:val="zh-CN"/>
        </w:rPr>
        <w:t>5.95</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3.95万元，比上年决算增加0.07万元，增长1.80%，主要原因是：单位本年增加昌吉州财社（2022）45号基本药物项目经费。</w:t>
      </w:r>
    </w:p>
    <w:p>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2.卫生健康支出（类）公共卫生（款）突发公共卫生事件应急处理（项）:支出决算数为1.31万元，比上年决算减少2.69万元，下降67.25%，主要原因是：自治区医务人员临时性工资项目经费减少。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3.卫生健康支出（类）公共卫生（款）其他公共卫生支出（项）:支出决算数为16.62万元，比上年决算增加9.45万元，增长131.80%，主要原因是：单位本年15-64岁体检项目经费增加。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4.卫生健康支出（类）基层医疗卫生机构（款）乡镇卫生院（项）:支出决算数为238.90万元，比上年决算增加27.69万元，增长13.11%，主要原因是：人员薪资调增，相应工资、津贴补贴、奖金等人员经费增加。</w:t>
      </w:r>
    </w:p>
    <w:p>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5.住房保障支出（类）住房改革支出（款）住房公积金（项）:支出决算数为20.72万元，比上年决算增加0.90万元，增长4.54%，主要原因是：单位本年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，相应公积金缴费增加。</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6.社会保障和就业支出（类）抚恤（款）死亡抚恤（项）:支出决算数为11.50万元，比上年决算增加9.70万元，增长538.89%，主要原因是：单位本年人员丧葬费、抚恤金补助较上年增加。</w:t>
      </w:r>
    </w:p>
    <w:p>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7.社会保障和就业支出（类）行政事业单位养老支出（款）事业单位离退休（项）:支出决算数为0.64万元，比上年决算增加0.40万元，增长166.67%，主要原因是：单位本年退休人员交通补助、取暖费增加。</w:t>
      </w:r>
    </w:p>
    <w:p>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8.卫生健康支出（类）公共卫生（款）基本公共卫生服务（项）:支出决算数为27.24万元，比上年决算增加2.29万元，增长9.18%，主要原因是：本年单位中央基本公共卫生服务项目经费增加。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9.卫生健康支出（类）公共卫生（款）重大公共卫生服务（项）:支出决算数为1.28万元，比上年决算增加0.06万元，增长4.92%，主要原因是：本年单位增加中央重大传染病防控经费。</w:t>
      </w:r>
    </w:p>
    <w:p>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10.卫生健康支出（类）计划生育事务（款）计划生育服务（项）:支出决算数为0.14万元，比上年决算增加0.14万元，增长100%，主要原因是：单位2022年牧民计划生育免费技术服务州本级配套项目资金增加。</w:t>
      </w:r>
    </w:p>
    <w:p>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11.社会保障和就业支出（类）行政事业单位养老支出（款）机关事业单位基本养老保险缴费支出（项）:支出决算数为25.68万元，比上年决算增加0.64万元，增长2.56%，主要原因是：单位本年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，人员养老保险缴费增加。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年中追加自治区彩票公益金自助80岁以上老年人基本生活津贴及免费体检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政府性基金预算财政拨款支出0.19万元。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2023年度木垒县哈萨克自治县大南沟乌孜别克民族乡卫生院（事业单位）公用经费支出0.00万元，比上年增加0.00万元，增长0.00%，主要原因是：单位本年无此项经费。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272.25万元，房屋340.00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401.10</w:t>
      </w:r>
      <w:r>
        <w:rPr>
          <w:rFonts w:hint="eastAsia" w:ascii="仿宋_GB2312" w:eastAsia="仿宋_GB2312"/>
          <w:sz w:val="32"/>
          <w:szCs w:val="32"/>
        </w:rPr>
        <w:t>万元，实际执行总额</w:t>
      </w:r>
      <w:r>
        <w:rPr>
          <w:rFonts w:ascii="仿宋_GB2312" w:eastAsia="仿宋_GB2312"/>
          <w:sz w:val="32"/>
          <w:szCs w:val="32"/>
        </w:rPr>
        <w:t>401.10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50.73</w:t>
      </w:r>
      <w:r>
        <w:rPr>
          <w:rFonts w:hint="eastAsia" w:ascii="仿宋_GB2312" w:eastAsia="仿宋_GB2312"/>
          <w:sz w:val="32"/>
          <w:szCs w:val="32"/>
        </w:rPr>
        <w:t>万元，全年执行数</w:t>
      </w:r>
      <w:r>
        <w:rPr>
          <w:rFonts w:ascii="仿宋_GB2312" w:eastAsia="仿宋_GB2312"/>
          <w:sz w:val="32"/>
          <w:szCs w:val="32"/>
        </w:rPr>
        <w:t>50.73</w:t>
      </w:r>
      <w:r>
        <w:rPr>
          <w:rFonts w:hint="eastAsia" w:ascii="仿宋_GB2312" w:eastAsia="仿宋_GB2312"/>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8522" w:type="dxa"/>
        <w:jc w:val="center"/>
        <w:tblInd w:w="0" w:type="dxa"/>
        <w:tblLayout w:type="fixed"/>
        <w:tblCellMar>
          <w:top w:w="0" w:type="dxa"/>
          <w:left w:w="108" w:type="dxa"/>
          <w:bottom w:w="0" w:type="dxa"/>
          <w:right w:w="108" w:type="dxa"/>
        </w:tblCellMar>
      </w:tblPr>
      <w:tblGrid>
        <w:gridCol w:w="1448"/>
        <w:gridCol w:w="1025"/>
        <w:gridCol w:w="1176"/>
        <w:gridCol w:w="924"/>
        <w:gridCol w:w="1560"/>
        <w:gridCol w:w="1008"/>
        <w:gridCol w:w="876"/>
        <w:gridCol w:w="505"/>
      </w:tblGrid>
      <w:tr>
        <w:tblPrEx>
          <w:tblLayout w:type="fixed"/>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660"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74"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木垒县乌孜别克卫生院</w:t>
            </w:r>
          </w:p>
        </w:tc>
      </w:tr>
      <w:tr>
        <w:tblPrEx>
          <w:tblLayout w:type="fixed"/>
          <w:tblCellMar>
            <w:top w:w="0" w:type="dxa"/>
            <w:left w:w="108" w:type="dxa"/>
            <w:bottom w:w="0" w:type="dxa"/>
            <w:right w:w="108" w:type="dxa"/>
          </w:tblCellMar>
        </w:tblPrEx>
        <w:trPr>
          <w:trHeight w:val="570"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350.37</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50.73</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250.13</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401.10</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05"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12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949"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200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12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tblPrEx>
          <w:tblLayout w:type="fixed"/>
          <w:tblCellMar>
            <w:top w:w="0" w:type="dxa"/>
            <w:left w:w="108" w:type="dxa"/>
            <w:bottom w:w="0" w:type="dxa"/>
            <w:right w:w="108" w:type="dxa"/>
          </w:tblCellMar>
        </w:tblPrEx>
        <w:trPr>
          <w:trHeight w:val="579"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=16人</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r>
      <w:tr>
        <w:tblPrEx>
          <w:tblLayout w:type="fixed"/>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r>
      <w:tr>
        <w:tblPrEx>
          <w:tblLayout w:type="fixed"/>
          <w:tblCellMar>
            <w:top w:w="0" w:type="dxa"/>
            <w:left w:w="108" w:type="dxa"/>
            <w:bottom w:w="0" w:type="dxa"/>
            <w:right w:w="108" w:type="dxa"/>
          </w:tblCellMar>
        </w:tblPrEx>
        <w:trPr>
          <w:trHeight w:val="741" w:hRule="atLeast"/>
          <w:jc w:val="center"/>
        </w:trPr>
        <w:tc>
          <w:tcPr>
            <w:tcW w:w="14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&gt;=2032人</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=2032人</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r>
      <w:tr>
        <w:tblPrEx>
          <w:tblLayout w:type="fixed"/>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&gt;=192人</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=192人</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r>
      <w:tr>
        <w:tblPrEx>
          <w:tblLayout w:type="fixed"/>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5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w:t>
            </w:r>
          </w:p>
        </w:tc>
      </w:tr>
      <w:tr>
        <w:tblPrEx>
          <w:tblLayout w:type="fixed"/>
          <w:tblCellMar>
            <w:top w:w="0" w:type="dxa"/>
            <w:left w:w="108" w:type="dxa"/>
            <w:bottom w:w="0" w:type="dxa"/>
            <w:right w:w="108" w:type="dxa"/>
          </w:tblCellMar>
        </w:tblPrEx>
        <w:trPr>
          <w:trHeight w:val="741" w:hRule="atLeast"/>
          <w:jc w:val="center"/>
        </w:trPr>
        <w:tc>
          <w:tcPr>
            <w:tcW w:w="14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92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木垒哈萨克自治县乌孜别克卫生院2023年工作计划</w:t>
            </w:r>
          </w:p>
        </w:tc>
        <w:tc>
          <w:tcPr>
            <w:tcW w:w="100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2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0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0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4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0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92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56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100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11</w:t>
            </w:r>
          </w:p>
        </w:tc>
        <w:tc>
          <w:tcPr>
            <w:tcW w:w="87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0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11</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057"/>
        <w:gridCol w:w="669"/>
        <w:gridCol w:w="1165"/>
        <w:gridCol w:w="688"/>
        <w:gridCol w:w="816"/>
        <w:gridCol w:w="716"/>
        <w:gridCol w:w="213"/>
        <w:gridCol w:w="331"/>
        <w:gridCol w:w="153"/>
        <w:gridCol w:w="592"/>
        <w:gridCol w:w="352"/>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9.43 </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5"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1"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07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全民健康体检项目</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根据要求，增加了一项全民健康体检项目</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4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655"/>
        <w:gridCol w:w="827"/>
        <w:gridCol w:w="1496"/>
        <w:gridCol w:w="646"/>
        <w:gridCol w:w="816"/>
        <w:gridCol w:w="716"/>
        <w:gridCol w:w="199"/>
        <w:gridCol w:w="325"/>
        <w:gridCol w:w="156"/>
        <w:gridCol w:w="550"/>
        <w:gridCol w:w="366"/>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3.83</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3.83 </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5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6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96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指标1：工作计划完成时间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指标1：受益群众相关投诉率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8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065"/>
        <w:gridCol w:w="377"/>
        <w:gridCol w:w="1704"/>
        <w:gridCol w:w="720"/>
        <w:gridCol w:w="716"/>
        <w:gridCol w:w="616"/>
        <w:gridCol w:w="152"/>
        <w:gridCol w:w="377"/>
        <w:gridCol w:w="99"/>
        <w:gridCol w:w="566"/>
        <w:gridCol w:w="360"/>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8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7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704"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9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19.3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0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0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0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60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136"/>
        <w:gridCol w:w="409"/>
        <w:gridCol w:w="1594"/>
        <w:gridCol w:w="725"/>
        <w:gridCol w:w="716"/>
        <w:gridCol w:w="616"/>
        <w:gridCol w:w="118"/>
        <w:gridCol w:w="435"/>
        <w:gridCol w:w="67"/>
        <w:gridCol w:w="597"/>
        <w:gridCol w:w="339"/>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8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2.30 </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9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2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60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172"/>
        <w:gridCol w:w="440"/>
        <w:gridCol w:w="1509"/>
        <w:gridCol w:w="673"/>
        <w:gridCol w:w="716"/>
        <w:gridCol w:w="616"/>
        <w:gridCol w:w="154"/>
        <w:gridCol w:w="388"/>
        <w:gridCol w:w="144"/>
        <w:gridCol w:w="599"/>
        <w:gridCol w:w="341"/>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5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95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 单月访视，季度查环，查孕率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长效避孕节育措施的及时率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已婚育龄妇女优生优育生殖健康知识水平</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文字描述</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1"/>
        <w:gridCol w:w="501"/>
        <w:gridCol w:w="949"/>
        <w:gridCol w:w="649"/>
        <w:gridCol w:w="900"/>
        <w:gridCol w:w="559"/>
        <w:gridCol w:w="810"/>
        <w:gridCol w:w="789"/>
        <w:gridCol w:w="254"/>
        <w:gridCol w:w="408"/>
        <w:gridCol w:w="266"/>
        <w:gridCol w:w="557"/>
        <w:gridCol w:w="401"/>
        <w:gridCol w:w="75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1.20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&gt;=2041人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2023年有迁出人员，所以本年全民体检人数较上年有所下降。</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083"/>
        <w:gridCol w:w="413"/>
        <w:gridCol w:w="1589"/>
        <w:gridCol w:w="709"/>
        <w:gridCol w:w="716"/>
        <w:gridCol w:w="616"/>
        <w:gridCol w:w="137"/>
        <w:gridCol w:w="399"/>
        <w:gridCol w:w="161"/>
        <w:gridCol w:w="579"/>
        <w:gridCol w:w="350"/>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5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14号拨付2023年中央财政基本公共卫生服务补助资金（第二批），大南沟乌孜别克民族乡卫生院使用基本药物制度补助资金1.18万元，实施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95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截至本项目自评之日，我单位已完成如下工作：适龄人群国家免疫规划疫苗接种人数749人，80岁以上老年人健康体检人数16人。实施了基本公共卫生服务，提高了基本公共卫生的质量。</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1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97.88分</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53"/>
        <w:gridCol w:w="454"/>
        <w:gridCol w:w="1589"/>
        <w:gridCol w:w="22"/>
        <w:gridCol w:w="1256"/>
        <w:gridCol w:w="559"/>
        <w:gridCol w:w="758"/>
        <w:gridCol w:w="748"/>
        <w:gridCol w:w="199"/>
        <w:gridCol w:w="382"/>
        <w:gridCol w:w="213"/>
        <w:gridCol w:w="552"/>
        <w:gridCol w:w="382"/>
        <w:gridCol w:w="733"/>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3"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6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78"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3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3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1"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=254种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受益群众相关投诉率</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&gt;=0.6万人</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受益群众满意率</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8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Layout w:type="fixed"/>
        <w:tblCellMar>
          <w:top w:w="0" w:type="dxa"/>
          <w:left w:w="108" w:type="dxa"/>
          <w:bottom w:w="0" w:type="dxa"/>
          <w:right w:w="108" w:type="dxa"/>
        </w:tblCellMar>
      </w:tblPr>
      <w:tblGrid>
        <w:gridCol w:w="416"/>
        <w:gridCol w:w="416"/>
        <w:gridCol w:w="1145"/>
        <w:gridCol w:w="537"/>
        <w:gridCol w:w="1169"/>
        <w:gridCol w:w="690"/>
        <w:gridCol w:w="816"/>
        <w:gridCol w:w="716"/>
        <w:gridCol w:w="215"/>
        <w:gridCol w:w="331"/>
        <w:gridCol w:w="206"/>
        <w:gridCol w:w="560"/>
        <w:gridCol w:w="366"/>
        <w:gridCol w:w="716"/>
      </w:tblGrid>
      <w:tr>
        <w:tblPrEx>
          <w:tblLayout w:type="fixed"/>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7.18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7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110"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&gt;=2032人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=1693人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 全民健康体检项目</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=8项</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根据要求，增加了一项全民健康体检项目</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指标2：全民健康体检设备到位率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指标1：全民健康体检人均体检费用</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指标1：居民体检投诉率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指标1：重大疾病及时发现率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指标1：体检居民满意度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0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88"/>
        <w:gridCol w:w="231"/>
        <w:gridCol w:w="1448"/>
        <w:gridCol w:w="645"/>
        <w:gridCol w:w="816"/>
        <w:gridCol w:w="716"/>
        <w:gridCol w:w="187"/>
        <w:gridCol w:w="356"/>
        <w:gridCol w:w="125"/>
        <w:gridCol w:w="582"/>
        <w:gridCol w:w="357"/>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299"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299"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14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14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0.15 </w:t>
            </w:r>
          </w:p>
        </w:tc>
        <w:tc>
          <w:tcPr>
            <w:tcW w:w="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84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vMerge w:val="continue"/>
            <w:vAlign w:val="center"/>
          </w:tcPr>
          <w:p>
            <w:pPr>
              <w:widowControl/>
              <w:jc w:val="left"/>
              <w:rPr>
                <w:rFonts w:hint="eastAsia" w:ascii="宋体" w:hAnsi="宋体" w:cs="宋体"/>
                <w:color w:val="000000"/>
                <w:kern w:val="0"/>
                <w:sz w:val="20"/>
                <w:szCs w:val="20"/>
              </w:rPr>
            </w:pPr>
          </w:p>
        </w:tc>
        <w:tc>
          <w:tcPr>
            <w:tcW w:w="2324"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543" w:type="dxa"/>
            <w:gridSpan w:val="2"/>
            <w:vMerge w:val="continue"/>
            <w:vAlign w:val="center"/>
          </w:tcPr>
          <w:p>
            <w:pPr>
              <w:widowControl/>
              <w:jc w:val="left"/>
              <w:rPr>
                <w:rFonts w:hint="eastAsia" w:ascii="宋体" w:hAnsi="宋体" w:cs="宋体"/>
                <w:color w:val="000000"/>
                <w:kern w:val="0"/>
                <w:sz w:val="20"/>
                <w:szCs w:val="20"/>
              </w:rPr>
            </w:pPr>
          </w:p>
        </w:tc>
        <w:tc>
          <w:tcPr>
            <w:tcW w:w="707" w:type="dxa"/>
            <w:gridSpan w:val="2"/>
            <w:vMerge w:val="continue"/>
            <w:vAlign w:val="center"/>
          </w:tcPr>
          <w:p>
            <w:pPr>
              <w:widowControl/>
              <w:jc w:val="left"/>
              <w:rPr>
                <w:rFonts w:hint="eastAsia" w:ascii="宋体" w:hAnsi="宋体" w:cs="宋体"/>
                <w:color w:val="000000"/>
                <w:kern w:val="0"/>
                <w:sz w:val="20"/>
                <w:szCs w:val="20"/>
              </w:rPr>
            </w:pPr>
          </w:p>
        </w:tc>
        <w:tc>
          <w:tcPr>
            <w:tcW w:w="107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597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Layout w:type="fixed"/>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tblPrEx>
          <w:tblLayout w:type="fixed"/>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关于拨付2023年机关公共卫生服务补助项目州本级补助资金的通知项目</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0.33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&gt;=159人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4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97.91分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Layout w:type="fixed"/>
        <w:tblCellMar>
          <w:top w:w="0" w:type="dxa"/>
          <w:left w:w="108" w:type="dxa"/>
          <w:bottom w:w="0" w:type="dxa"/>
          <w:right w:w="108" w:type="dxa"/>
        </w:tblCellMar>
      </w:tblPr>
      <w:tblGrid>
        <w:gridCol w:w="500"/>
        <w:gridCol w:w="501"/>
        <w:gridCol w:w="1233"/>
        <w:gridCol w:w="365"/>
        <w:gridCol w:w="900"/>
        <w:gridCol w:w="559"/>
        <w:gridCol w:w="810"/>
        <w:gridCol w:w="789"/>
        <w:gridCol w:w="254"/>
        <w:gridCol w:w="408"/>
        <w:gridCol w:w="266"/>
        <w:gridCol w:w="557"/>
        <w:gridCol w:w="401"/>
        <w:gridCol w:w="756"/>
      </w:tblGrid>
      <w:tr>
        <w:tblPrEx>
          <w:tblLayout w:type="fixed"/>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2023年自治区医务人员临时工作补助（第二批）项目</w:t>
            </w:r>
          </w:p>
        </w:tc>
      </w:tr>
      <w:tr>
        <w:tblPrEx>
          <w:tblLayout w:type="fixed"/>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trHeight w:val="480" w:hRule="atLeast"/>
          <w:jc w:val="center"/>
        </w:trPr>
        <w:tc>
          <w:tcPr>
            <w:tcW w:w="10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0.11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tblPrEx>
          <w:tblLayout w:type="fixed"/>
          <w:tblCellMar>
            <w:top w:w="0" w:type="dxa"/>
            <w:left w:w="108" w:type="dxa"/>
            <w:bottom w:w="0" w:type="dxa"/>
            <w:right w:w="108" w:type="dxa"/>
          </w:tblCellMar>
        </w:tblPrEx>
        <w:trPr>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6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Layout w:type="fixed"/>
        <w:tblCellMar>
          <w:top w:w="0" w:type="dxa"/>
          <w:left w:w="108" w:type="dxa"/>
          <w:bottom w:w="0" w:type="dxa"/>
          <w:right w:w="108" w:type="dxa"/>
        </w:tblCellMar>
      </w:tblPr>
      <w:tblGrid>
        <w:gridCol w:w="416"/>
        <w:gridCol w:w="416"/>
        <w:gridCol w:w="1149"/>
        <w:gridCol w:w="373"/>
        <w:gridCol w:w="1448"/>
        <w:gridCol w:w="645"/>
        <w:gridCol w:w="816"/>
        <w:gridCol w:w="716"/>
        <w:gridCol w:w="186"/>
        <w:gridCol w:w="356"/>
        <w:gridCol w:w="124"/>
        <w:gridCol w:w="582"/>
        <w:gridCol w:w="356"/>
        <w:gridCol w:w="716"/>
      </w:tblGrid>
      <w:tr>
        <w:tblPrEx>
          <w:tblLayout w:type="fixed"/>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3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4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指标3：免疫规划集中接种次数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497次</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指标4：精神障碍患者随访次数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指标1：重大传染病防控覆盖率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指标1：居民身体健康和保健意识提高率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7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299" w:type="dxa"/>
        <w:jc w:val="center"/>
        <w:tblInd w:w="0" w:type="dxa"/>
        <w:tblLayout w:type="fixed"/>
        <w:tblCellMar>
          <w:top w:w="0" w:type="dxa"/>
          <w:left w:w="108" w:type="dxa"/>
          <w:bottom w:w="0" w:type="dxa"/>
          <w:right w:w="108" w:type="dxa"/>
        </w:tblCellMar>
      </w:tblPr>
      <w:tblGrid>
        <w:gridCol w:w="416"/>
        <w:gridCol w:w="416"/>
        <w:gridCol w:w="882"/>
        <w:gridCol w:w="541"/>
        <w:gridCol w:w="1624"/>
        <w:gridCol w:w="735"/>
        <w:gridCol w:w="716"/>
        <w:gridCol w:w="616"/>
        <w:gridCol w:w="204"/>
        <w:gridCol w:w="325"/>
        <w:gridCol w:w="191"/>
        <w:gridCol w:w="553"/>
        <w:gridCol w:w="364"/>
        <w:gridCol w:w="716"/>
      </w:tblGrid>
      <w:tr>
        <w:tblPrEx>
          <w:tblLayout w:type="fixed"/>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木垒县乌孜别克卫生院</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4.14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&gt;=407人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=479人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老人因病去世</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4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97.86分</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95A55"/>
    <w:rsid w:val="000F4723"/>
    <w:rsid w:val="00161616"/>
    <w:rsid w:val="001D2BDF"/>
    <w:rsid w:val="00205A49"/>
    <w:rsid w:val="00213C59"/>
    <w:rsid w:val="00233B7D"/>
    <w:rsid w:val="00236BB8"/>
    <w:rsid w:val="00245F97"/>
    <w:rsid w:val="00315279"/>
    <w:rsid w:val="003210CE"/>
    <w:rsid w:val="004E236B"/>
    <w:rsid w:val="005069D7"/>
    <w:rsid w:val="00526DAF"/>
    <w:rsid w:val="005F222A"/>
    <w:rsid w:val="006415E7"/>
    <w:rsid w:val="00653C55"/>
    <w:rsid w:val="00743696"/>
    <w:rsid w:val="00776AEE"/>
    <w:rsid w:val="00805AFF"/>
    <w:rsid w:val="008965D9"/>
    <w:rsid w:val="0094571B"/>
    <w:rsid w:val="00A152FE"/>
    <w:rsid w:val="00AC6E4B"/>
    <w:rsid w:val="00B70D59"/>
    <w:rsid w:val="00BA09F3"/>
    <w:rsid w:val="00C20D9B"/>
    <w:rsid w:val="00C8111A"/>
    <w:rsid w:val="00C83D5A"/>
    <w:rsid w:val="00C87CF2"/>
    <w:rsid w:val="00CE1A6E"/>
    <w:rsid w:val="00D41C5D"/>
    <w:rsid w:val="00D55357"/>
    <w:rsid w:val="00DB7C6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433680"/>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6B17C1"/>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6888</Words>
  <Characters>8043</Characters>
  <Lines>196</Lines>
  <Paragraphs>55</Paragraphs>
  <TotalTime>2</TotalTime>
  <ScaleCrop>false</ScaleCrop>
  <LinksUpToDate>false</LinksUpToDate>
  <CharactersWithSpaces>8108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2025-04-22T09:38:43Z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